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15679C">
      <w:pPr>
        <w:pStyle w:val="Heading1"/>
      </w:pPr>
      <w:r>
        <w:t xml:space="preserve">dessin et technologie de construction </w:t>
      </w:r>
      <w:r>
        <w:br/>
        <w:t>(90 periodes)</w:t>
      </w:r>
    </w:p>
    <w:p w:rsidR="00317EF6" w:rsidRPr="00BC47F7" w:rsidRDefault="00317EF6" w:rsidP="0015679C">
      <w:pPr>
        <w:pStyle w:val="Heading2"/>
        <w:rPr>
          <w:rFonts w:ascii="Times New Roman" w:hAnsi="Times New Roman" w:cs="Times New Roman"/>
          <w:u w:val="single"/>
          <w:lang w:eastAsia="fr-FR"/>
        </w:rPr>
      </w:pPr>
      <w:r w:rsidRPr="00BC47F7">
        <w:rPr>
          <w:rFonts w:ascii="Times New Roman" w:hAnsi="Times New Roman" w:cs="Times New Roman"/>
          <w:u w:val="single"/>
          <w:lang w:eastAsia="fr-FR"/>
        </w:rPr>
        <w:t xml:space="preserve">Contenu 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u w:val="single"/>
          <w:lang w:val="fr-FR" w:eastAsia="fr-FR"/>
        </w:rPr>
      </w:pPr>
      <w:r w:rsidRPr="00BC47F7">
        <w:rPr>
          <w:rFonts w:ascii="Times New Roman" w:hAnsi="Times New Roman" w:cs="Times New Roman"/>
          <w:u w:val="single"/>
          <w:lang w:val="fr-FR" w:eastAsia="fr-FR"/>
        </w:rPr>
        <w:t xml:space="preserve">Chapitre 1 </w:t>
      </w:r>
    </w:p>
    <w:p w:rsidR="00317EF6" w:rsidRDefault="00317EF6" w:rsidP="0015679C">
      <w:pPr>
        <w:pStyle w:val="Title"/>
        <w:rPr>
          <w:rFonts w:ascii="Times New Roman" w:hAnsi="Times New Roman" w:cs="Times New Roman"/>
          <w:lang w:val="fr-FR" w:eastAsia="fr-FR"/>
        </w:rPr>
      </w:pPr>
      <w:r w:rsidRPr="00BC47F7">
        <w:rPr>
          <w:rFonts w:ascii="Times New Roman" w:hAnsi="Times New Roman" w:cs="Times New Roman"/>
          <w:lang w:val="fr-FR" w:eastAsia="fr-FR"/>
        </w:rPr>
        <w:t>Normes et traits</w:t>
      </w:r>
    </w:p>
    <w:p w:rsidR="00317EF6" w:rsidRDefault="00317EF6" w:rsidP="0015679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proofErr w:type="gramStart"/>
      <w:r>
        <w:rPr>
          <w:rFonts w:ascii="Arial" w:hAnsi="Arial"/>
          <w:sz w:val="22"/>
          <w:szCs w:val="26"/>
          <w:lang w:val="fr-FR" w:eastAsia="fr-FR"/>
        </w:rPr>
        <w:t>1.1  But</w:t>
      </w:r>
      <w:proofErr w:type="gramEnd"/>
      <w:r>
        <w:rPr>
          <w:rFonts w:ascii="Arial" w:hAnsi="Arial"/>
          <w:sz w:val="22"/>
          <w:szCs w:val="26"/>
          <w:lang w:val="fr-FR" w:eastAsia="fr-FR"/>
        </w:rPr>
        <w:t xml:space="preserve"> du dessin technique.</w:t>
      </w:r>
    </w:p>
    <w:p w:rsidR="00317EF6" w:rsidRDefault="00317EF6" w:rsidP="0015679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 Matériels utilisés par le dessinateur.</w:t>
      </w:r>
    </w:p>
    <w:p w:rsidR="00317EF6" w:rsidRDefault="00317EF6" w:rsidP="0015679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 Généralités sur la normalisation.</w:t>
      </w:r>
    </w:p>
    <w:p w:rsidR="00317EF6" w:rsidRDefault="00317EF6" w:rsidP="0015679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1.4 Ecritures et présentation du dessin.</w:t>
      </w:r>
    </w:p>
    <w:p w:rsidR="00317EF6" w:rsidRDefault="00317EF6" w:rsidP="0015679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1.5 Formats et traits.</w:t>
      </w:r>
    </w:p>
    <w:p w:rsidR="00317EF6" w:rsidRDefault="00317EF6" w:rsidP="0015679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1.6 Cotations.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u w:val="single"/>
          <w:lang w:val="fr-FR" w:eastAsia="fr-FR"/>
        </w:rPr>
      </w:pPr>
      <w:r w:rsidRPr="00BC47F7">
        <w:rPr>
          <w:rFonts w:ascii="Times New Roman" w:hAnsi="Times New Roman" w:cs="Times New Roman"/>
          <w:u w:val="single"/>
          <w:lang w:val="fr-FR" w:eastAsia="fr-FR"/>
        </w:rPr>
        <w:t xml:space="preserve">Chapitre 2 </w:t>
      </w:r>
    </w:p>
    <w:p w:rsidR="00317EF6" w:rsidRDefault="00317EF6" w:rsidP="0015679C">
      <w:pPr>
        <w:pStyle w:val="Title"/>
        <w:rPr>
          <w:rFonts w:ascii="Times New Roman" w:hAnsi="Times New Roman" w:cs="Times New Roman"/>
          <w:lang w:val="fr-FR" w:eastAsia="fr-FR"/>
        </w:rPr>
      </w:pPr>
      <w:r w:rsidRPr="00BC47F7">
        <w:rPr>
          <w:rFonts w:ascii="Times New Roman" w:hAnsi="Times New Roman" w:cs="Times New Roman"/>
          <w:lang w:val="fr-FR" w:eastAsia="fr-FR"/>
        </w:rPr>
        <w:t>Raccordements</w:t>
      </w:r>
    </w:p>
    <w:p w:rsidR="00317EF6" w:rsidRDefault="00317EF6" w:rsidP="0015679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 But du raccordement</w:t>
      </w:r>
    </w:p>
    <w:p w:rsidR="00317EF6" w:rsidRDefault="00317EF6" w:rsidP="0015679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 Les méthodes de raccordements : point et droite, deux droites, droite et cercle, deux cercles.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u w:val="single"/>
          <w:lang w:val="fr-FR" w:eastAsia="fr-FR"/>
        </w:rPr>
      </w:pPr>
      <w:r w:rsidRPr="00BC47F7">
        <w:rPr>
          <w:rFonts w:ascii="Times New Roman" w:hAnsi="Times New Roman" w:cs="Times New Roman"/>
          <w:u w:val="single"/>
          <w:lang w:val="fr-FR" w:eastAsia="fr-FR"/>
        </w:rPr>
        <w:t xml:space="preserve">Chapitre 3 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lang w:val="fr-FR" w:eastAsia="fr-FR"/>
        </w:rPr>
      </w:pPr>
      <w:r w:rsidRPr="00BC47F7">
        <w:rPr>
          <w:rFonts w:ascii="Times New Roman" w:hAnsi="Times New Roman" w:cs="Times New Roman"/>
          <w:lang w:val="fr-FR" w:eastAsia="fr-FR"/>
        </w:rPr>
        <w:t>Projections</w:t>
      </w:r>
    </w:p>
    <w:p w:rsidR="00317EF6" w:rsidRDefault="00317EF6" w:rsidP="0015679C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3.1 But de la projection </w:t>
      </w:r>
    </w:p>
    <w:p w:rsidR="00317EF6" w:rsidRDefault="00317EF6" w:rsidP="0015679C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 Les méthodes de projection.</w:t>
      </w:r>
    </w:p>
    <w:p w:rsidR="00317EF6" w:rsidRDefault="00317EF6" w:rsidP="0015679C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3.3 Projection orthogonale.</w:t>
      </w:r>
    </w:p>
    <w:p w:rsidR="00317EF6" w:rsidRDefault="00317EF6" w:rsidP="0015679C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3.4 Mise en </w:t>
      </w:r>
      <w:proofErr w:type="gramStart"/>
      <w:r>
        <w:rPr>
          <w:rFonts w:ascii="Arial" w:hAnsi="Arial"/>
          <w:sz w:val="22"/>
          <w:szCs w:val="26"/>
          <w:lang w:val="fr-FR" w:eastAsia="fr-FR"/>
        </w:rPr>
        <w:t>page;</w:t>
      </w:r>
      <w:proofErr w:type="gramEnd"/>
      <w:r>
        <w:rPr>
          <w:rFonts w:ascii="Arial" w:hAnsi="Arial"/>
          <w:sz w:val="22"/>
          <w:szCs w:val="26"/>
          <w:lang w:val="fr-FR" w:eastAsia="fr-FR"/>
        </w:rPr>
        <w:t xml:space="preserve"> Echelles.</w:t>
      </w:r>
    </w:p>
    <w:p w:rsidR="00317EF6" w:rsidRDefault="00317EF6" w:rsidP="0015679C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3.5 Vue, demi vue et vue éclatée.</w:t>
      </w:r>
    </w:p>
    <w:p w:rsidR="00317EF6" w:rsidRDefault="00317EF6" w:rsidP="0015679C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3.6 Exécution de plusieurs formes de pièces (cube, plan incliné,  </w:t>
      </w:r>
    </w:p>
    <w:p w:rsidR="00317EF6" w:rsidRDefault="00317EF6" w:rsidP="0015679C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3.7 cylindre, sphère, parties cachées...) 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u w:val="single"/>
          <w:lang w:val="fr-FR" w:eastAsia="fr-FR"/>
        </w:rPr>
      </w:pPr>
      <w:r w:rsidRPr="00BC47F7">
        <w:rPr>
          <w:rFonts w:ascii="Times New Roman" w:hAnsi="Times New Roman" w:cs="Times New Roman"/>
          <w:u w:val="single"/>
          <w:lang w:val="fr-FR" w:eastAsia="fr-FR"/>
        </w:rPr>
        <w:t xml:space="preserve">Chapitre 4 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lang w:val="fr-FR" w:eastAsia="fr-FR"/>
        </w:rPr>
      </w:pPr>
      <w:r w:rsidRPr="00BC47F7">
        <w:rPr>
          <w:rFonts w:ascii="Times New Roman" w:hAnsi="Times New Roman" w:cs="Times New Roman"/>
          <w:lang w:val="fr-FR" w:eastAsia="fr-FR"/>
        </w:rPr>
        <w:t>Coupes et sections</w:t>
      </w:r>
    </w:p>
    <w:p w:rsidR="00317EF6" w:rsidRDefault="00317EF6" w:rsidP="0015679C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 But d'une coupe et d'une section.</w:t>
      </w:r>
    </w:p>
    <w:p w:rsidR="00317EF6" w:rsidRDefault="00317EF6" w:rsidP="0015679C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4.2 Coupe et hachures, demie-coupe.</w:t>
      </w:r>
    </w:p>
    <w:p w:rsidR="00317EF6" w:rsidRDefault="00317EF6" w:rsidP="0015679C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4.3 Coupe brisée à plans parallèles, à plans </w:t>
      </w:r>
      <w:proofErr w:type="gramStart"/>
      <w:r>
        <w:rPr>
          <w:rFonts w:ascii="Arial" w:hAnsi="Arial"/>
          <w:sz w:val="22"/>
          <w:szCs w:val="26"/>
          <w:lang w:val="fr-FR" w:eastAsia="fr-FR"/>
        </w:rPr>
        <w:t>sécants;</w:t>
      </w:r>
      <w:proofErr w:type="gramEnd"/>
      <w:r>
        <w:rPr>
          <w:rFonts w:ascii="Arial" w:hAnsi="Arial"/>
          <w:sz w:val="22"/>
          <w:szCs w:val="26"/>
          <w:lang w:val="fr-FR" w:eastAsia="fr-FR"/>
        </w:rPr>
        <w:t xml:space="preserve"> coupe locale.</w:t>
      </w:r>
    </w:p>
    <w:p w:rsidR="00317EF6" w:rsidRDefault="00317EF6" w:rsidP="0015679C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4.4 Hachures.</w:t>
      </w:r>
    </w:p>
    <w:p w:rsidR="00317EF6" w:rsidRDefault="00317EF6" w:rsidP="0015679C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4.5 </w:t>
      </w:r>
      <w:proofErr w:type="gramStart"/>
      <w:r>
        <w:rPr>
          <w:rFonts w:ascii="Arial" w:hAnsi="Arial"/>
          <w:sz w:val="22"/>
          <w:szCs w:val="26"/>
          <w:lang w:val="fr-FR" w:eastAsia="fr-FR"/>
        </w:rPr>
        <w:t>Section  sortie</w:t>
      </w:r>
      <w:proofErr w:type="gramEnd"/>
      <w:r>
        <w:rPr>
          <w:rFonts w:ascii="Arial" w:hAnsi="Arial"/>
          <w:sz w:val="22"/>
          <w:szCs w:val="26"/>
          <w:lang w:val="fr-FR" w:eastAsia="fr-FR"/>
        </w:rPr>
        <w:t>, section rabattue, demi rabattement.</w:t>
      </w:r>
    </w:p>
    <w:p w:rsidR="00317EF6" w:rsidRDefault="00317EF6" w:rsidP="0015679C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15679C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15679C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u w:val="single"/>
          <w:lang w:val="fr-FR" w:eastAsia="fr-FR"/>
        </w:rPr>
      </w:pPr>
      <w:r w:rsidRPr="00BC47F7">
        <w:rPr>
          <w:rFonts w:ascii="Times New Roman" w:hAnsi="Times New Roman" w:cs="Times New Roman"/>
          <w:u w:val="single"/>
          <w:lang w:val="fr-FR" w:eastAsia="fr-FR"/>
        </w:rPr>
        <w:t xml:space="preserve">Chapitre 5 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lang w:val="fr-FR" w:eastAsia="fr-FR"/>
        </w:rPr>
      </w:pPr>
      <w:r w:rsidRPr="00BC47F7">
        <w:rPr>
          <w:rFonts w:ascii="Times New Roman" w:hAnsi="Times New Roman" w:cs="Times New Roman"/>
          <w:lang w:val="fr-FR" w:eastAsia="fr-FR"/>
        </w:rPr>
        <w:t>Perspectives</w:t>
      </w:r>
    </w:p>
    <w:p w:rsidR="00317EF6" w:rsidRDefault="00317EF6" w:rsidP="0015679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 But et utilité d'une perspective.</w:t>
      </w:r>
    </w:p>
    <w:p w:rsidR="00317EF6" w:rsidRDefault="00317EF6" w:rsidP="0015679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 Perspective cavalière.</w:t>
      </w:r>
    </w:p>
    <w:p w:rsidR="00317EF6" w:rsidRDefault="00317EF6" w:rsidP="0015679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 Perspective axonométrique.</w:t>
      </w:r>
    </w:p>
    <w:p w:rsidR="00317EF6" w:rsidRDefault="00317EF6" w:rsidP="0015679C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u w:val="single"/>
          <w:lang w:val="fr-FR" w:eastAsia="fr-FR"/>
        </w:rPr>
      </w:pPr>
      <w:r w:rsidRPr="00BC47F7">
        <w:rPr>
          <w:rFonts w:ascii="Times New Roman" w:hAnsi="Times New Roman" w:cs="Times New Roman"/>
          <w:u w:val="single"/>
          <w:lang w:val="fr-FR" w:eastAsia="fr-FR"/>
        </w:rPr>
        <w:t xml:space="preserve">Chapitre 6 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lang w:val="fr-FR" w:eastAsia="fr-FR"/>
        </w:rPr>
      </w:pPr>
      <w:r w:rsidRPr="00BC47F7">
        <w:rPr>
          <w:rFonts w:ascii="Times New Roman" w:hAnsi="Times New Roman" w:cs="Times New Roman"/>
          <w:lang w:val="fr-FR" w:eastAsia="fr-FR"/>
        </w:rPr>
        <w:t>Cotation Tolérance et ajustements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6.1 Interchangeabilité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 Cotation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 Tolérance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u w:val="single"/>
          <w:lang w:val="fr-FR" w:eastAsia="fr-FR"/>
        </w:rPr>
      </w:pPr>
      <w:r w:rsidRPr="00BC47F7">
        <w:rPr>
          <w:rFonts w:ascii="Times New Roman" w:hAnsi="Times New Roman" w:cs="Times New Roman"/>
          <w:u w:val="single"/>
          <w:lang w:val="fr-FR" w:eastAsia="fr-FR"/>
        </w:rPr>
        <w:t xml:space="preserve">Chapitre 7 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lang w:val="fr-FR" w:eastAsia="fr-FR"/>
        </w:rPr>
      </w:pPr>
      <w:r w:rsidRPr="00BC47F7">
        <w:rPr>
          <w:rFonts w:ascii="Times New Roman" w:hAnsi="Times New Roman" w:cs="Times New Roman"/>
          <w:lang w:val="fr-FR" w:eastAsia="fr-FR"/>
        </w:rPr>
        <w:t>Cotation fonctionnelle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 Représentation vectorielle des chaînes de cotes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7.2 Détermination des chaînes de cotes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u w:val="single"/>
          <w:lang w:val="fr-FR" w:eastAsia="fr-FR"/>
        </w:rPr>
      </w:pPr>
      <w:r w:rsidRPr="00BC47F7">
        <w:rPr>
          <w:rFonts w:ascii="Times New Roman" w:hAnsi="Times New Roman" w:cs="Times New Roman"/>
          <w:u w:val="single"/>
          <w:lang w:val="fr-FR" w:eastAsia="fr-FR"/>
        </w:rPr>
        <w:t>Chapitre 8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lang w:val="fr-FR" w:eastAsia="fr-FR"/>
        </w:rPr>
      </w:pPr>
      <w:r w:rsidRPr="00BC47F7">
        <w:rPr>
          <w:rFonts w:ascii="Times New Roman" w:hAnsi="Times New Roman" w:cs="Times New Roman"/>
          <w:lang w:val="fr-FR" w:eastAsia="fr-FR"/>
        </w:rPr>
        <w:t>Tolérances géométriques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8.1 Inscriptions normalisées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8.2 Tolérances de forme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8.3 Tolérance d'orientation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8.4 Tolérance de position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8.5 Tolérance de battement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8.6 Principe de l’enveloppe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8.7 Cotation maximum de matière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u w:val="single"/>
          <w:lang w:val="fr-FR" w:eastAsia="fr-FR"/>
        </w:rPr>
      </w:pPr>
      <w:r w:rsidRPr="00BC47F7">
        <w:rPr>
          <w:rFonts w:ascii="Times New Roman" w:hAnsi="Times New Roman" w:cs="Times New Roman"/>
          <w:u w:val="single"/>
          <w:lang w:val="fr-FR" w:eastAsia="fr-FR"/>
        </w:rPr>
        <w:t>Chapitre 9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lang w:val="fr-FR" w:eastAsia="fr-FR"/>
        </w:rPr>
      </w:pPr>
      <w:r w:rsidRPr="00BC47F7">
        <w:rPr>
          <w:rFonts w:ascii="Times New Roman" w:hAnsi="Times New Roman" w:cs="Times New Roman"/>
          <w:lang w:val="fr-FR" w:eastAsia="fr-FR"/>
        </w:rPr>
        <w:t>Etats de surface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9.1 Principaux défauts des surfaces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9.2 Topographie des surfaces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9.3 Critères d’évaluation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9.4 Inscription normalise d'un état de surface par un dessin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u w:val="single"/>
          <w:lang w:val="fr-FR" w:eastAsia="fr-FR"/>
        </w:rPr>
      </w:pPr>
      <w:r w:rsidRPr="00BC47F7">
        <w:rPr>
          <w:rFonts w:ascii="Times New Roman" w:hAnsi="Times New Roman" w:cs="Times New Roman"/>
          <w:u w:val="single"/>
          <w:lang w:val="fr-FR" w:eastAsia="fr-FR"/>
        </w:rPr>
        <w:t>Chapitre 10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lang w:val="fr-FR" w:eastAsia="fr-FR"/>
        </w:rPr>
      </w:pPr>
      <w:r w:rsidRPr="00BC47F7">
        <w:rPr>
          <w:rFonts w:ascii="Times New Roman" w:hAnsi="Times New Roman" w:cs="Times New Roman"/>
          <w:lang w:val="fr-FR" w:eastAsia="fr-FR"/>
        </w:rPr>
        <w:t>Construction des liaisons mécaniques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10.1 Etude générale de liaison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10.2 Liaison par filetage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10.3 Les organes assurant les liaisons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10.4 Les vis d'assemblage, de pression....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10.5 Les écrous (à la main, à la clé, écrous-freins)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10.6 Les rondelles (différents types)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10.7 Les boulons - les goujons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10.8 Les goupilles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10.9 Les clavettes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10.10 Les organes élastiques. (</w:t>
      </w:r>
      <w:proofErr w:type="gramStart"/>
      <w:r>
        <w:rPr>
          <w:rFonts w:ascii="Arial" w:hAnsi="Arial"/>
          <w:sz w:val="22"/>
          <w:lang w:val="fr-FR"/>
        </w:rPr>
        <w:t>joints,...</w:t>
      </w:r>
      <w:proofErr w:type="gramEnd"/>
      <w:r>
        <w:rPr>
          <w:rFonts w:ascii="Arial" w:hAnsi="Arial"/>
          <w:sz w:val="22"/>
          <w:lang w:val="fr-FR"/>
        </w:rPr>
        <w:t>)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10.11 Les guidages (en </w:t>
      </w:r>
      <w:proofErr w:type="gramStart"/>
      <w:r>
        <w:rPr>
          <w:rFonts w:ascii="Arial" w:hAnsi="Arial"/>
          <w:sz w:val="22"/>
          <w:lang w:val="fr-FR"/>
        </w:rPr>
        <w:t>translation,  en</w:t>
      </w:r>
      <w:proofErr w:type="gramEnd"/>
      <w:r>
        <w:rPr>
          <w:rFonts w:ascii="Arial" w:hAnsi="Arial"/>
          <w:sz w:val="22"/>
          <w:lang w:val="fr-FR"/>
        </w:rPr>
        <w:t xml:space="preserve"> rotation)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lang w:val="fr-FR" w:eastAsia="fr-FR"/>
        </w:rPr>
      </w:pPr>
      <w:r w:rsidRPr="00BC47F7">
        <w:rPr>
          <w:rFonts w:ascii="Times New Roman" w:hAnsi="Times New Roman" w:cs="Times New Roman"/>
          <w:lang w:val="fr-FR" w:eastAsia="fr-FR"/>
        </w:rPr>
        <w:t xml:space="preserve">Chapitre 11 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lang w:val="fr-FR" w:eastAsia="fr-FR"/>
        </w:rPr>
      </w:pPr>
      <w:r w:rsidRPr="00BC47F7">
        <w:rPr>
          <w:rFonts w:ascii="Times New Roman" w:hAnsi="Times New Roman" w:cs="Times New Roman"/>
          <w:lang w:val="fr-FR" w:eastAsia="fr-FR"/>
        </w:rPr>
        <w:lastRenderedPageBreak/>
        <w:t xml:space="preserve">Les assemblages 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11.1 Soudage, collage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11.2 Assemblage par rivetage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11.3 Assemblage par vis et écrou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11.4 Assemblage des arbres par clavettes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11.5 Assemblage par boulons et goupilles</w:t>
      </w:r>
    </w:p>
    <w:p w:rsidR="00317EF6" w:rsidRDefault="00317EF6" w:rsidP="0015679C">
      <w:pPr>
        <w:ind w:left="1425" w:right="988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11.6 Assemblage par contraction</w:t>
      </w:r>
    </w:p>
    <w:p w:rsidR="00317EF6" w:rsidRPr="00A72CAA" w:rsidRDefault="00317EF6" w:rsidP="0015679C">
      <w:pPr>
        <w:pStyle w:val="Title"/>
        <w:rPr>
          <w:lang w:val="fr-FR"/>
        </w:rPr>
      </w:pP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lang w:val="fr-FR" w:eastAsia="fr-FR"/>
        </w:rPr>
      </w:pPr>
      <w:r w:rsidRPr="00BC47F7">
        <w:rPr>
          <w:rFonts w:ascii="Times New Roman" w:hAnsi="Times New Roman" w:cs="Times New Roman"/>
          <w:lang w:val="fr-FR" w:eastAsia="fr-FR"/>
        </w:rPr>
        <w:t xml:space="preserve">Chapitre 12 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lang w:val="fr-FR" w:eastAsia="fr-FR"/>
        </w:rPr>
      </w:pPr>
      <w:r w:rsidRPr="00BC47F7">
        <w:rPr>
          <w:rFonts w:ascii="Times New Roman" w:hAnsi="Times New Roman" w:cs="Times New Roman"/>
          <w:lang w:val="fr-FR" w:eastAsia="fr-FR"/>
        </w:rPr>
        <w:t>Etanchéité et protection des liaisons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12.1 Etanchéité entre pièces mobiles ou fixes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12.2 compromis étanchéité - frottement - lubrification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12.3 Applications joints composites</w:t>
      </w:r>
    </w:p>
    <w:p w:rsidR="00317EF6" w:rsidRDefault="00317EF6" w:rsidP="0015679C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12.4 Protection contre l’introduction de corps étrangers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lang w:val="fr-FR" w:eastAsia="fr-FR"/>
        </w:rPr>
      </w:pPr>
      <w:r w:rsidRPr="00BC47F7">
        <w:rPr>
          <w:rFonts w:ascii="Times New Roman" w:hAnsi="Times New Roman" w:cs="Times New Roman"/>
          <w:lang w:val="fr-FR" w:eastAsia="fr-FR"/>
        </w:rPr>
        <w:t xml:space="preserve">Chapitre 13 </w:t>
      </w:r>
    </w:p>
    <w:p w:rsidR="00317EF6" w:rsidRPr="00BC47F7" w:rsidRDefault="00317EF6" w:rsidP="0015679C">
      <w:pPr>
        <w:pStyle w:val="Title"/>
        <w:rPr>
          <w:rFonts w:ascii="Times New Roman" w:hAnsi="Times New Roman" w:cs="Times New Roman"/>
          <w:lang w:val="fr-FR" w:eastAsia="fr-FR"/>
        </w:rPr>
      </w:pPr>
      <w:r w:rsidRPr="00BC47F7">
        <w:rPr>
          <w:rFonts w:ascii="Times New Roman" w:hAnsi="Times New Roman" w:cs="Times New Roman"/>
          <w:lang w:val="fr-FR" w:eastAsia="fr-FR"/>
        </w:rPr>
        <w:t xml:space="preserve">Les accouplements </w:t>
      </w:r>
    </w:p>
    <w:p w:rsidR="00317EF6" w:rsidRDefault="00317EF6" w:rsidP="0015679C">
      <w:pPr>
        <w:ind w:left="1425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13.1 Classification des accouplements </w:t>
      </w:r>
    </w:p>
    <w:p w:rsidR="00317EF6" w:rsidRDefault="00317EF6" w:rsidP="0015679C">
      <w:pPr>
        <w:ind w:left="2490" w:hanging="108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13.1.1 La liaison à caractère permanent (accouplements fixes)</w:t>
      </w:r>
    </w:p>
    <w:p w:rsidR="00317EF6" w:rsidRDefault="00317EF6" w:rsidP="0015679C">
      <w:pPr>
        <w:ind w:left="2490" w:hanging="108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13.1.2 Manchons rigides</w:t>
      </w:r>
    </w:p>
    <w:p w:rsidR="00317EF6" w:rsidRDefault="00317EF6" w:rsidP="0015679C">
      <w:pPr>
        <w:ind w:left="2490" w:hanging="108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13.1.3 Manchons de dilatation</w:t>
      </w:r>
    </w:p>
    <w:p w:rsidR="00317EF6" w:rsidRDefault="00317EF6" w:rsidP="0015679C">
      <w:pPr>
        <w:ind w:left="2490" w:hanging="108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13.1.4 Manchons de sécurité</w:t>
      </w:r>
    </w:p>
    <w:p w:rsidR="00317EF6" w:rsidRDefault="00317EF6" w:rsidP="0015679C">
      <w:pPr>
        <w:ind w:left="2490" w:hanging="108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13.1.5 Manchons élastiques</w:t>
      </w:r>
    </w:p>
    <w:p w:rsidR="00317EF6" w:rsidRDefault="00317EF6" w:rsidP="0015679C">
      <w:pPr>
        <w:ind w:left="2490" w:hanging="108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13.1.6 Joints </w:t>
      </w:r>
    </w:p>
    <w:p w:rsidR="00317EF6" w:rsidRDefault="00317EF6" w:rsidP="0015679C">
      <w:pPr>
        <w:ind w:left="3195" w:hanging="108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13.1.6.1 Joint d’Oldham</w:t>
      </w:r>
    </w:p>
    <w:p w:rsidR="00317EF6" w:rsidRDefault="00317EF6" w:rsidP="0015679C">
      <w:pPr>
        <w:ind w:left="3195" w:hanging="108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13.1.6.2 Joint de Cardan</w:t>
      </w:r>
    </w:p>
    <w:p w:rsidR="00317EF6" w:rsidRDefault="00317EF6" w:rsidP="0015679C">
      <w:pPr>
        <w:ind w:left="1425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13.2 La liaison à un caractère temporaire (accouplements mobiles) </w:t>
      </w:r>
    </w:p>
    <w:p w:rsidR="00317EF6" w:rsidRDefault="00317EF6" w:rsidP="0015679C">
      <w:pPr>
        <w:ind w:left="2490" w:hanging="108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13.2.1 Manchons débrayables</w:t>
      </w:r>
    </w:p>
    <w:p w:rsidR="00317EF6" w:rsidRDefault="00317EF6" w:rsidP="0015679C">
      <w:pPr>
        <w:ind w:left="2490" w:hanging="108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13.2.2 Embrayages</w:t>
      </w:r>
    </w:p>
    <w:p w:rsidR="00317EF6" w:rsidRDefault="00317EF6" w:rsidP="0015679C">
      <w:pPr>
        <w:ind w:left="2490" w:hanging="108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13.2.3 Coupleurs</w:t>
      </w: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  <w:bookmarkStart w:id="0" w:name="_GoBack"/>
      <w:bookmarkEnd w:id="0"/>
    </w:p>
    <w:sectPr w:rsidR="00317EF6" w:rsidSect="00FE3C7C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325E"/>
    <w:rsid w:val="0045224F"/>
    <w:rsid w:val="00453349"/>
    <w:rsid w:val="00465E97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E3C7C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D33B0-67E9-4C80-9873-F5AC84FBA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3254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177</cp:revision>
  <cp:lastPrinted>2012-09-25T05:56:00Z</cp:lastPrinted>
  <dcterms:created xsi:type="dcterms:W3CDTF">2012-08-24T05:04:00Z</dcterms:created>
  <dcterms:modified xsi:type="dcterms:W3CDTF">2019-07-24T07:08:00Z</dcterms:modified>
</cp:coreProperties>
</file>